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B429" w14:textId="77777777" w:rsidR="00911905" w:rsidRPr="00911905" w:rsidRDefault="00911905" w:rsidP="00911905">
      <w:pPr>
        <w:widowControl/>
        <w:shd w:val="clear" w:color="auto" w:fill="FFFFFF"/>
        <w:spacing w:after="240" w:line="240" w:lineRule="auto"/>
        <w:jc w:val="right"/>
        <w:rPr>
          <w:rFonts w:ascii="Segoe UI" w:eastAsia="Times New Roman" w:hAnsi="Segoe UI" w:cs="Segoe UI"/>
          <w:color w:val="0F1115"/>
          <w:sz w:val="24"/>
          <w:szCs w:val="24"/>
          <w14:ligatures w14:val="none"/>
        </w:rPr>
      </w:pPr>
      <w:r w:rsidRPr="00911905">
        <w:rPr>
          <w:rFonts w:ascii="Segoe UI" w:eastAsia="Times New Roman" w:hAnsi="Segoe UI" w:cs="Segoe UI"/>
          <w:b/>
          <w:bCs/>
          <w:color w:val="0F1115"/>
          <w:sz w:val="24"/>
          <w:szCs w:val="24"/>
          <w14:ligatures w14:val="none"/>
        </w:rPr>
        <w:t>УТВЕРЖДЕНЫ</w:t>
      </w:r>
      <w:r w:rsidRPr="00911905">
        <w:rPr>
          <w:rFonts w:ascii="Segoe UI" w:eastAsia="Times New Roman" w:hAnsi="Segoe UI" w:cs="Segoe UI"/>
          <w:color w:val="0F1115"/>
          <w:sz w:val="24"/>
          <w:szCs w:val="24"/>
          <w14:ligatures w14:val="none"/>
        </w:rPr>
        <w:br/>
        <w:t>Решением Совета Ассоциации торговых электронных площадок</w:t>
      </w:r>
      <w:r w:rsidRPr="00911905">
        <w:rPr>
          <w:rFonts w:ascii="Segoe UI" w:eastAsia="Times New Roman" w:hAnsi="Segoe UI" w:cs="Segoe UI"/>
          <w:color w:val="0F1115"/>
          <w:sz w:val="24"/>
          <w:szCs w:val="24"/>
          <w14:ligatures w14:val="none"/>
        </w:rPr>
        <w:br/>
        <w:t>от «_</w:t>
      </w:r>
      <w:r w:rsidRPr="00911905">
        <w:rPr>
          <w:rFonts w:ascii="Segoe UI" w:eastAsia="Times New Roman" w:hAnsi="Segoe UI" w:cs="Segoe UI"/>
          <w:b/>
          <w:bCs/>
          <w:color w:val="0F1115"/>
          <w:sz w:val="24"/>
          <w:szCs w:val="24"/>
          <w14:ligatures w14:val="none"/>
        </w:rPr>
        <w:t>» __________ 20</w:t>
      </w:r>
      <w:r w:rsidRPr="00911905">
        <w:rPr>
          <w:rFonts w:ascii="Segoe UI" w:eastAsia="Times New Roman" w:hAnsi="Segoe UI" w:cs="Segoe UI"/>
          <w:color w:val="0F1115"/>
          <w:sz w:val="24"/>
          <w:szCs w:val="24"/>
          <w14:ligatures w14:val="none"/>
        </w:rPr>
        <w:t> г. (Протокол № __)</w:t>
      </w:r>
    </w:p>
    <w:p w14:paraId="20088A86" w14:textId="4B79724D" w:rsidR="00911905" w:rsidRDefault="00911905" w:rsidP="00911905">
      <w:pPr>
        <w:widowControl/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653227C" w14:textId="77777777" w:rsidR="00911905" w:rsidRDefault="00911905" w:rsidP="00911905">
      <w:pPr>
        <w:widowControl/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33C95F0" w14:textId="77777777" w:rsidR="00911905" w:rsidRDefault="00911905" w:rsidP="00911905">
      <w:pPr>
        <w:widowControl/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33D9A78" w14:textId="77777777" w:rsidR="00911905" w:rsidRDefault="00911905" w:rsidP="00911905">
      <w:pPr>
        <w:widowControl/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1052CC8" w14:textId="77777777" w:rsidR="00911905" w:rsidRDefault="00911905" w:rsidP="00911905">
      <w:pPr>
        <w:widowControl/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1BCF0FD" w14:textId="77777777" w:rsidR="00911905" w:rsidRPr="00911905" w:rsidRDefault="00911905" w:rsidP="00911905">
      <w:pPr>
        <w:widowControl/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2B6F373" w14:textId="77777777" w:rsidR="00911905" w:rsidRPr="00911905" w:rsidRDefault="00911905" w:rsidP="00911905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ТРЕБОВАНИЯ</w:t>
      </w:r>
    </w:p>
    <w:p w14:paraId="3FA6422B" w14:textId="77777777" w:rsidR="00911905" w:rsidRPr="00911905" w:rsidRDefault="00911905" w:rsidP="00911905">
      <w:pPr>
        <w:widowControl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К ЧЛЕНУ АССОЦИАЦИИ ТОРГОВЫХ ЭЛЕКТРОННЫХ ПЛОЩАДОК (АТЭП) ПО ИСПОЛНЕНИЮ ИМ ОБЯЗАННОСТИ ЗАКЛЮЧИТЬ ДОГОВОР ОБЯЗАТЕЛЬНОГО СТРАХОВАНИЯ ОТВЕТСТВЕННОСТИ</w:t>
      </w:r>
    </w:p>
    <w:p w14:paraId="684538B9" w14:textId="0B1C5CB5" w:rsidR="00911905" w:rsidRDefault="00911905" w:rsidP="00911905">
      <w:pPr>
        <w:widowControl/>
        <w:spacing w:before="480" w:after="480" w:line="240" w:lineRule="auto"/>
        <w:jc w:val="both"/>
        <w:rPr>
          <w:rFonts w:ascii="Segoe UI" w:eastAsia="Times New Roman" w:hAnsi="Segoe UI" w:cs="Segoe UI"/>
          <w:sz w:val="24"/>
          <w:szCs w:val="24"/>
          <w14:ligatures w14:val="none"/>
        </w:rPr>
      </w:pPr>
    </w:p>
    <w:p w14:paraId="50D295E3" w14:textId="77777777" w:rsidR="00911905" w:rsidRDefault="00911905" w:rsidP="00911905">
      <w:pPr>
        <w:widowControl/>
        <w:spacing w:before="480" w:after="480" w:line="240" w:lineRule="auto"/>
        <w:jc w:val="both"/>
        <w:rPr>
          <w:rFonts w:ascii="Segoe UI" w:eastAsia="Times New Roman" w:hAnsi="Segoe UI" w:cs="Segoe UI"/>
          <w:sz w:val="24"/>
          <w:szCs w:val="24"/>
          <w14:ligatures w14:val="none"/>
        </w:rPr>
      </w:pPr>
    </w:p>
    <w:p w14:paraId="07D5ABBD" w14:textId="77777777" w:rsidR="00911905" w:rsidRDefault="00911905" w:rsidP="00911905">
      <w:pPr>
        <w:widowControl/>
        <w:spacing w:before="480" w:after="480" w:line="240" w:lineRule="auto"/>
        <w:jc w:val="both"/>
        <w:rPr>
          <w:rFonts w:ascii="Segoe UI" w:eastAsia="Times New Roman" w:hAnsi="Segoe UI" w:cs="Segoe UI"/>
          <w:sz w:val="24"/>
          <w:szCs w:val="24"/>
          <w14:ligatures w14:val="none"/>
        </w:rPr>
      </w:pPr>
    </w:p>
    <w:p w14:paraId="086CDD95" w14:textId="77777777" w:rsidR="00911905" w:rsidRDefault="00911905" w:rsidP="00911905">
      <w:pPr>
        <w:widowControl/>
        <w:spacing w:before="480" w:after="480" w:line="240" w:lineRule="auto"/>
        <w:jc w:val="both"/>
        <w:rPr>
          <w:rFonts w:ascii="Segoe UI" w:eastAsia="Times New Roman" w:hAnsi="Segoe UI" w:cs="Segoe UI"/>
          <w:sz w:val="24"/>
          <w:szCs w:val="24"/>
          <w14:ligatures w14:val="none"/>
        </w:rPr>
      </w:pPr>
    </w:p>
    <w:p w14:paraId="0BE00116" w14:textId="77777777" w:rsidR="00911905" w:rsidRDefault="00911905" w:rsidP="00911905">
      <w:pPr>
        <w:widowControl/>
        <w:spacing w:before="480" w:after="480" w:line="240" w:lineRule="auto"/>
        <w:jc w:val="both"/>
        <w:rPr>
          <w:rFonts w:ascii="Segoe UI" w:eastAsia="Times New Roman" w:hAnsi="Segoe UI" w:cs="Segoe UI"/>
          <w:sz w:val="24"/>
          <w:szCs w:val="24"/>
          <w14:ligatures w14:val="none"/>
        </w:rPr>
      </w:pPr>
    </w:p>
    <w:p w14:paraId="405B10CE" w14:textId="77777777" w:rsidR="00911905" w:rsidRDefault="00911905" w:rsidP="00911905">
      <w:pPr>
        <w:widowControl/>
        <w:spacing w:before="480" w:after="480" w:line="240" w:lineRule="auto"/>
        <w:jc w:val="both"/>
        <w:rPr>
          <w:rFonts w:ascii="Segoe UI" w:eastAsia="Times New Roman" w:hAnsi="Segoe UI" w:cs="Segoe UI"/>
          <w:sz w:val="24"/>
          <w:szCs w:val="24"/>
          <w14:ligatures w14:val="none"/>
        </w:rPr>
      </w:pPr>
    </w:p>
    <w:p w14:paraId="2701C50B" w14:textId="77777777" w:rsidR="00911905" w:rsidRDefault="00911905" w:rsidP="00911905">
      <w:pPr>
        <w:widowControl/>
        <w:spacing w:before="480" w:after="480" w:line="240" w:lineRule="auto"/>
        <w:jc w:val="both"/>
        <w:rPr>
          <w:rFonts w:ascii="Segoe UI" w:eastAsia="Times New Roman" w:hAnsi="Segoe UI" w:cs="Segoe UI"/>
          <w:sz w:val="24"/>
          <w:szCs w:val="24"/>
          <w14:ligatures w14:val="none"/>
        </w:rPr>
      </w:pPr>
    </w:p>
    <w:p w14:paraId="7C542AA0" w14:textId="77777777" w:rsidR="00911905" w:rsidRDefault="00911905" w:rsidP="00911905">
      <w:pPr>
        <w:widowControl/>
        <w:spacing w:before="480" w:after="480" w:line="240" w:lineRule="auto"/>
        <w:jc w:val="both"/>
        <w:rPr>
          <w:rFonts w:ascii="Segoe UI" w:eastAsia="Times New Roman" w:hAnsi="Segoe UI" w:cs="Segoe UI"/>
          <w:sz w:val="24"/>
          <w:szCs w:val="24"/>
          <w14:ligatures w14:val="none"/>
        </w:rPr>
      </w:pPr>
    </w:p>
    <w:p w14:paraId="09E25994" w14:textId="29D70DB0" w:rsidR="00911905" w:rsidRPr="00911905" w:rsidRDefault="00911905" w:rsidP="00911905">
      <w:pPr>
        <w:widowControl/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sz w:val="24"/>
          <w:szCs w:val="24"/>
          <w14:ligatures w14:val="none"/>
        </w:rPr>
        <w:t>Москва 2026</w:t>
      </w:r>
    </w:p>
    <w:p w14:paraId="429DFE87" w14:textId="77777777" w:rsidR="00911905" w:rsidRPr="00911905" w:rsidRDefault="00911905" w:rsidP="00911905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Настоящие требования разработаны в соответствии со статьями 111.2, 111.7 Федерального закона от 26 октября 2002 г. № 127-ФЗ «О несостоятельности (банкротстве)» (далее – Закон о банкротстве), Уставом Ассоциации торговых электронных площадок (далее – Ассоциация, АТЭП) и иными внутренними документами Ассоциации.</w:t>
      </w:r>
    </w:p>
    <w:p w14:paraId="423A5B68" w14:textId="77777777" w:rsidR="00911905" w:rsidRPr="00911905" w:rsidRDefault="00911905" w:rsidP="00911905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Оператор электронной площадки для осуществления деятельности обязан иметь заключённый (действующий) договор страхования ответственности (далее – Договор), соответствующий следующим требованиям:</w:t>
      </w:r>
    </w:p>
    <w:p w14:paraId="53D180DE" w14:textId="77777777" w:rsidR="00911905" w:rsidRPr="00911905" w:rsidRDefault="00911905" w:rsidP="0091190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а) Договор должен быть заключён со страховой организацией,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аккредитованной Ассоциацией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в порядке, установленном внутренним документом АТЭП;</w:t>
      </w:r>
    </w:p>
    <w:p w14:paraId="2749A78E" w14:textId="77777777" w:rsidR="00911905" w:rsidRPr="00911905" w:rsidRDefault="00911905" w:rsidP="0091190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б) страховая сумма по Договору должна соответствовать требованиям, установленным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пунктом 2 статьи 111.7 Закона о банкротстве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(в действующей редакции);</w:t>
      </w:r>
    </w:p>
    <w:p w14:paraId="4FADC36F" w14:textId="77777777" w:rsidR="00911905" w:rsidRPr="00911905" w:rsidRDefault="00911905" w:rsidP="0091190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в) срок Договора должен быть не менее чем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один год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условием его возобновления на тот же срок путём заключения нового договора страхования или дополнительного соглашения к действующему договору страхования на условиях, согласованных сторонами;</w:t>
      </w:r>
    </w:p>
    <w:p w14:paraId="582F52CA" w14:textId="77777777" w:rsidR="00911905" w:rsidRPr="00911905" w:rsidRDefault="00911905" w:rsidP="0091190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г) объектом страхования по Договору должны являться имущественные интересы оператора электронной площадки, указанные в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пункте 3 статьи 111.7 Закона о банкротстве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;</w:t>
      </w:r>
    </w:p>
    <w:p w14:paraId="2A87E494" w14:textId="77777777" w:rsidR="00911905" w:rsidRPr="00911905" w:rsidRDefault="00911905" w:rsidP="0091190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д) Договор должен определять страховой случай в соответствии с требованиями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статьи 111.7 Закона о банкротстве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;</w:t>
      </w:r>
    </w:p>
    <w:p w14:paraId="3A58C966" w14:textId="77777777" w:rsidR="00911905" w:rsidRPr="00911905" w:rsidRDefault="00911905" w:rsidP="0091190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е) страховой случай по Договору должен считаться наступившим при условии неисполнения или ненадлежащего исполнения оператором электронной площадки требований, установленных законодательством Российской Федерации, стандартами и правилами профессиональной деятельности операторов электронных площадок, при проведении торгов в электронной форме, имевших место в течение срока действия Договора и повлёкших за собой причинение убытков третьим лицам.</w:t>
      </w:r>
    </w:p>
    <w:p w14:paraId="7B331A67" w14:textId="77777777" w:rsidR="00911905" w:rsidRPr="00911905" w:rsidRDefault="00911905" w:rsidP="0091190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 этом требования выгодоприобретателей к страхователю о возмещении причинённых убытков могут быть заявлены в течение сроков исковой давности, установленных законодательством Российской Федерации, как в течение срока действия Договора, так и после его окончания;</w:t>
      </w:r>
    </w:p>
    <w:p w14:paraId="7288E524" w14:textId="77777777" w:rsidR="00911905" w:rsidRPr="00911905" w:rsidRDefault="00911905" w:rsidP="0091190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ж) Договор должен предусматривать условие, в соответствии с которым страховщик в случае досрочного прекращения Договора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 освобождается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от обязанности произвести выплату страхового возмещения по страховым случаям, наступившим вследствие неисполнения или ненадлежащего исполнения оператором электронной площадки требований, установленных законодательством Российской Федерации, стандартами и правилами профессиональной деятельности операторов электронных площадок, которое произошло до даты прекращения Договора и повлекло за собой причинение убытков третьим лицам при проведении торгов в электронной форме. Исключением из данного положения может являться случай досрочного прекращения Договора по основанию неисполнения страхователем условия соблюдения минимального размера страховой суммы, установленного пунктом 2 статьи 111.7 Закона о банкротстве, при исполнении страховщиком обязательств по Договору в полном объёме;</w:t>
      </w:r>
    </w:p>
    <w:p w14:paraId="08CB7C82" w14:textId="77777777" w:rsidR="00911905" w:rsidRPr="00911905" w:rsidRDefault="00911905" w:rsidP="0091190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з) Договор должен предусматривать обязанность члена Ассоциации сообщать в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АТЭП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следующие сведения:</w:t>
      </w:r>
    </w:p>
    <w:p w14:paraId="01744665" w14:textId="77777777" w:rsidR="00911905" w:rsidRPr="00911905" w:rsidRDefault="00911905" w:rsidP="0091190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о заключённых членом Ассоциации Договорах страхования ответственности;</w:t>
      </w:r>
    </w:p>
    <w:p w14:paraId="64BD48E3" w14:textId="77777777" w:rsidR="00911905" w:rsidRPr="00911905" w:rsidRDefault="00911905" w:rsidP="0091190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фактических выплатах страхового возмещения по Договорам, заключённым членом Ассоциации;</w:t>
      </w:r>
    </w:p>
    <w:p w14:paraId="4CA20F25" w14:textId="77777777" w:rsidR="00911905" w:rsidRPr="00911905" w:rsidRDefault="00911905" w:rsidP="0091190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соблюдении членом Ассоциации сроков внесения страховых премий (оплаты страховых взносов) по заключённым Договорам страхования ответственности;</w:t>
      </w:r>
    </w:p>
    <w:p w14:paraId="002BEC37" w14:textId="77777777" w:rsidR="00911905" w:rsidRPr="00911905" w:rsidRDefault="00911905" w:rsidP="0091190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соблюдении членом Ассоциации требований по соответствию страховой суммы по заключённым договорам минимальным размерам, установленным пунктом 2 статьи 111.7 Закона о банкротстве, а также требований об увеличении размера страховой суммы до указанных минимальных размеров;</w:t>
      </w:r>
    </w:p>
    <w:p w14:paraId="3011B16E" w14:textId="77777777" w:rsidR="00911905" w:rsidRPr="00911905" w:rsidRDefault="00911905" w:rsidP="0091190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изменении условий заключённых членом Ассоциации Договоров;</w:t>
      </w:r>
    </w:p>
    <w:p w14:paraId="31D08C53" w14:textId="77777777" w:rsidR="00911905" w:rsidRPr="00911905" w:rsidRDefault="00911905" w:rsidP="0091190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окончании срока действия Договоров, об их досрочном прекращении (досрочное расторжение, отказ от договора);</w:t>
      </w:r>
    </w:p>
    <w:p w14:paraId="28A41955" w14:textId="77777777" w:rsidR="00911905" w:rsidRPr="00911905" w:rsidRDefault="00911905" w:rsidP="0091190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и) Договор должен предусматривать следующие обязанности члена Ассоциации:</w:t>
      </w:r>
    </w:p>
    <w:p w14:paraId="3A6C88CD" w14:textId="77777777" w:rsidR="00911905" w:rsidRPr="00911905" w:rsidRDefault="00911905" w:rsidP="00911905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незамедлительно сообщать страховщику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способом, обеспечивающим фиксирование текста (почтовым отправлением (с уведомлением о вручении), факсимильной связью, телеграммой, телефонограммой и т.п.), с указанием отправителя и даты сообщения, о ставших ему известными значительных изменениях в обстоятельствах, сообщённых страховщику при заключении договора, если эти изменения могут существенно повлиять на увеличение страхового риска. Значительными признаются изменения в обстоятельствах, указанных в договоре страхования (страховом полисе), заявлении на страхование или в письменном запросе страховщика;</w:t>
      </w:r>
    </w:p>
    <w:p w14:paraId="70C8FFC7" w14:textId="77777777" w:rsidR="00911905" w:rsidRPr="00911905" w:rsidRDefault="00911905" w:rsidP="00911905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незамедлительно, но не позднее 3 рабочих дней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со дня получения соответствующих документов или уведомлений, если иной срок не установлен Договором, письменно известить страховщика обо всех предъявленных ему требованиях выгодоприобретателей, направив в адрес страховщика копию искового заявления, поданного в суд, копии иных судебных актов и любые уведомления, полученные страхователем, о причинении им убытков, в соответствии с которыми рассматривается дело о взыскании убытков со страхователя;</w:t>
      </w:r>
    </w:p>
    <w:p w14:paraId="6A09774B" w14:textId="77777777" w:rsidR="00911905" w:rsidRPr="00911905" w:rsidRDefault="00911905" w:rsidP="00911905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 признавать частично или полностью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требования, предъявляемые ему в связи со страховым случаем, а также не принимать на себя каких-либо прямых или косвенных обязательств по урегулированию таких требований без согласия страховщика;</w:t>
      </w:r>
    </w:p>
    <w:p w14:paraId="083257C9" w14:textId="77777777" w:rsidR="00911905" w:rsidRPr="00911905" w:rsidRDefault="00911905" w:rsidP="00911905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принимать разумные и доступные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в сложившихся обстоятельствах меры по уменьшению убытков, подлежащих возмещению по условиям договора страхования, следовать указаниям страховщика, если они сообщены члену Ассоциации и при условии, что такие указания страховщика не противоречат законодательству Российской Федерации, и член Ассоциации способен их выполнить;</w:t>
      </w:r>
    </w:p>
    <w:p w14:paraId="0E5E5DD7" w14:textId="77777777" w:rsidR="00911905" w:rsidRPr="00911905" w:rsidRDefault="00911905" w:rsidP="00911905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не отказываться от своего права требования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к лицу, ответственному за убытки, возмещённые страховщиком, и не осуществлять действия (бездействие), приводящие к тому, что осуществление этого права станет невозможным по вине члена Ассоциации.</w:t>
      </w:r>
    </w:p>
    <w:p w14:paraId="5542ADD6" w14:textId="77777777" w:rsidR="00911905" w:rsidRPr="00911905" w:rsidRDefault="00911905" w:rsidP="00911905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случае, если осуществление выплаты страхового возмещения происходит в течение срока, на который заключён Договор, и приводит к уменьшению страховой суммы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ниже минимального уровня страховой суммы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установленного пунктом 2 статьи 111.7 Закона о банкротстве, член Ассоциации обязан в срок не позднее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семи рабочих дней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с даты осуществления страховой выплаты, в результате которой произошло такое уменьшение страховой суммы, заключить дополнительное соглашение или дополнительный Договор, обеспечивающий соблюдение требования о соответствии размера страховой суммы минимальным размерам, установленным пунктом 2 статьи 111.7 Закона о банкротстве.</w:t>
      </w:r>
    </w:p>
    <w:p w14:paraId="7A13D570" w14:textId="77777777" w:rsidR="00911905" w:rsidRPr="00911905" w:rsidRDefault="00911905" w:rsidP="00911905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В целях соблюдения требований Закона о банкротстве член Ассоциации обязан сообщать в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АТЭП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в установленные Ассоциацией сроки:</w:t>
      </w:r>
    </w:p>
    <w:p w14:paraId="65F01CB3" w14:textId="77777777" w:rsidR="00911905" w:rsidRPr="00911905" w:rsidRDefault="00911905" w:rsidP="00911905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заключённых им Договорах и представлять указанные договоры;</w:t>
      </w:r>
    </w:p>
    <w:p w14:paraId="4789F856" w14:textId="77777777" w:rsidR="00911905" w:rsidRPr="00911905" w:rsidRDefault="00911905" w:rsidP="00911905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фактических выплатах страхового возмещения по Договорам;</w:t>
      </w:r>
    </w:p>
    <w:p w14:paraId="1308D802" w14:textId="77777777" w:rsidR="00911905" w:rsidRPr="00911905" w:rsidRDefault="00911905" w:rsidP="00911905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сроках внесения страховых премий по Договору;</w:t>
      </w:r>
    </w:p>
    <w:p w14:paraId="55537342" w14:textId="77777777" w:rsidR="00911905" w:rsidRPr="00911905" w:rsidRDefault="00911905" w:rsidP="00911905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соблюдении условия соответствия размера страховой суммы минимальным размерам, установленным пунктом 2 статьи 111.7 Закона о банкротстве;</w:t>
      </w:r>
    </w:p>
    <w:p w14:paraId="7D797D18" w14:textId="77777777" w:rsidR="00911905" w:rsidRPr="00911905" w:rsidRDefault="00911905" w:rsidP="00911905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изменении условий Договора;</w:t>
      </w:r>
    </w:p>
    <w:p w14:paraId="38C104EB" w14:textId="77777777" w:rsidR="00911905" w:rsidRPr="00911905" w:rsidRDefault="00911905" w:rsidP="00911905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об окончании срока действия Договоров, о досрочном прекращении Договоров (досрочное расторжение, отказ от договора).</w:t>
      </w:r>
    </w:p>
    <w:p w14:paraId="5FE6874E" w14:textId="77777777" w:rsidR="00911905" w:rsidRPr="00911905" w:rsidRDefault="00911905" w:rsidP="0091190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случаях окончания срока действия Договора, досрочного прекращения Договора член Ассоциации должен заключить Договор на новый срок, дата начала действия которого должна быть не позднее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следующего дня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после даты окончания (прекращения) предыдущего Договора.</w:t>
      </w:r>
    </w:p>
    <w:p w14:paraId="29E1B6AB" w14:textId="77777777" w:rsidR="00911905" w:rsidRPr="00911905" w:rsidRDefault="00911905" w:rsidP="0091190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Член Ассоциации обязан представлять в </w:t>
      </w:r>
      <w:r w:rsidRPr="0091190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АТЭП</w:t>
      </w: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заключённые им договоры страхования в установленные Ассоциацией сроки.</w:t>
      </w:r>
    </w:p>
    <w:p w14:paraId="53299736" w14:textId="77777777" w:rsidR="00911905" w:rsidRPr="00911905" w:rsidRDefault="00911905" w:rsidP="0091190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Контроль за соблюдением настоящих требований осуществляется Ассоциацией. Несоблюдение оператором электронной площадки требований к договору обязательного страхования своей ответственности является основанием для применения мер дисциплинарного воздействия, вплоть до исключения оператора электронной площадки из членов Ассоциации в порядке, установленном внутренними документами АТЭП.</w:t>
      </w:r>
    </w:p>
    <w:p w14:paraId="7D9ACB54" w14:textId="77777777" w:rsidR="00911905" w:rsidRPr="00911905" w:rsidRDefault="00911905" w:rsidP="00911905">
      <w:pPr>
        <w:widowControl/>
        <w:spacing w:before="480" w:after="4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sz w:val="24"/>
          <w:szCs w:val="24"/>
          <w14:ligatures w14:val="none"/>
        </w:rPr>
        <w:pict w14:anchorId="69E10FEC">
          <v:rect id="_x0000_i1027" style="width:0;height:.75pt" o:hralign="center" o:hrstd="t" o:hr="t" fillcolor="#a0a0a0" stroked="f"/>
        </w:pict>
      </w:r>
    </w:p>
    <w:p w14:paraId="3677581E" w14:textId="77777777" w:rsidR="00911905" w:rsidRPr="00911905" w:rsidRDefault="00911905" w:rsidP="00911905">
      <w:pPr>
        <w:widowControl/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91190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14:ligatures w14:val="none"/>
        </w:rPr>
        <w:t>Примечание: все ссылки на нормативные правовые акты актуальны на дату утверждения документа. В случае изменения законодательства следует руководствоваться действующими редакциями соответствующих актов.</w:t>
      </w:r>
    </w:p>
    <w:p w14:paraId="221CE2A9" w14:textId="77777777" w:rsidR="003D260B" w:rsidRPr="00911905" w:rsidRDefault="003D260B" w:rsidP="00911905">
      <w:pPr>
        <w:jc w:val="both"/>
        <w:rPr>
          <w:rFonts w:ascii="Times New Roman" w:hAnsi="Times New Roman" w:cs="Times New Roman"/>
        </w:rPr>
      </w:pPr>
    </w:p>
    <w:sectPr w:rsidR="003D260B" w:rsidRPr="00911905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F119" w14:textId="77777777" w:rsidR="008E4B16" w:rsidRDefault="008E4B16" w:rsidP="00911905">
      <w:pPr>
        <w:spacing w:after="0" w:line="240" w:lineRule="auto"/>
      </w:pPr>
      <w:r>
        <w:separator/>
      </w:r>
    </w:p>
  </w:endnote>
  <w:endnote w:type="continuationSeparator" w:id="0">
    <w:p w14:paraId="2A2F6EA2" w14:textId="77777777" w:rsidR="008E4B16" w:rsidRDefault="008E4B16" w:rsidP="0091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CA74" w14:textId="77777777" w:rsidR="008E4B16" w:rsidRDefault="008E4B16" w:rsidP="00911905">
      <w:pPr>
        <w:spacing w:after="0" w:line="240" w:lineRule="auto"/>
      </w:pPr>
      <w:r>
        <w:separator/>
      </w:r>
    </w:p>
  </w:footnote>
  <w:footnote w:type="continuationSeparator" w:id="0">
    <w:p w14:paraId="0D83C8BA" w14:textId="77777777" w:rsidR="008E4B16" w:rsidRDefault="008E4B16" w:rsidP="00911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2E63"/>
    <w:multiLevelType w:val="multilevel"/>
    <w:tmpl w:val="98440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F2AAC"/>
    <w:multiLevelType w:val="multilevel"/>
    <w:tmpl w:val="6BD8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01810"/>
    <w:multiLevelType w:val="multilevel"/>
    <w:tmpl w:val="962A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74137"/>
    <w:multiLevelType w:val="multilevel"/>
    <w:tmpl w:val="4C40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C4B14"/>
    <w:multiLevelType w:val="multilevel"/>
    <w:tmpl w:val="EF924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C01E9"/>
    <w:multiLevelType w:val="multilevel"/>
    <w:tmpl w:val="07BC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111621">
    <w:abstractNumId w:val="3"/>
  </w:num>
  <w:num w:numId="2" w16cid:durableId="1499954145">
    <w:abstractNumId w:val="5"/>
  </w:num>
  <w:num w:numId="3" w16cid:durableId="1684090824">
    <w:abstractNumId w:val="2"/>
  </w:num>
  <w:num w:numId="4" w16cid:durableId="91047364">
    <w:abstractNumId w:val="4"/>
  </w:num>
  <w:num w:numId="5" w16cid:durableId="1508397949">
    <w:abstractNumId w:val="1"/>
  </w:num>
  <w:num w:numId="6" w16cid:durableId="194395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71"/>
    <w:rsid w:val="001D0D2B"/>
    <w:rsid w:val="002F5771"/>
    <w:rsid w:val="003D260B"/>
    <w:rsid w:val="008E4B16"/>
    <w:rsid w:val="00911905"/>
    <w:rsid w:val="00C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FD2DE"/>
  <w15:chartTrackingRefBased/>
  <w15:docId w15:val="{34EC4B4D-20C5-4100-AE1A-03E8E4C0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7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7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7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7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7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7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7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577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1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1905"/>
  </w:style>
  <w:style w:type="paragraph" w:styleId="ae">
    <w:name w:val="footer"/>
    <w:basedOn w:val="a"/>
    <w:link w:val="af"/>
    <w:uiPriority w:val="99"/>
    <w:unhideWhenUsed/>
    <w:rsid w:val="00911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2026-02-19T15:44:00Z</dcterms:created>
  <dcterms:modified xsi:type="dcterms:W3CDTF">2026-02-19T15:47:00Z</dcterms:modified>
</cp:coreProperties>
</file>